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BEAF" w14:textId="77777777" w:rsidR="00391473" w:rsidRPr="00391473" w:rsidRDefault="00391473" w:rsidP="0039147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441BD"/>
          <w:kern w:val="36"/>
          <w:sz w:val="34"/>
          <w:szCs w:val="34"/>
          <w:lang w:eastAsia="it-IT"/>
          <w14:ligatures w14:val="none"/>
        </w:rPr>
      </w:pPr>
      <w:r w:rsidRPr="00391473">
        <w:rPr>
          <w:rFonts w:ascii="Tahoma" w:eastAsia="Times New Roman" w:hAnsi="Tahoma" w:cs="Tahoma"/>
          <w:color w:val="0441BD"/>
          <w:kern w:val="36"/>
          <w:sz w:val="34"/>
          <w:szCs w:val="34"/>
          <w:lang w:eastAsia="it-IT"/>
          <w14:ligatures w14:val="none"/>
        </w:rPr>
        <w:t>Corrispettivi tariffari per il servizio di misura dell’energia elettrica immessa e prelevata e dell’energia elettrica prodotta.</w:t>
      </w:r>
    </w:p>
    <w:p w14:paraId="4A1D78C1" w14:textId="77777777" w:rsidR="00D45A2D" w:rsidRDefault="00D45A2D" w:rsidP="0039147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88600"/>
          <w:kern w:val="36"/>
          <w:sz w:val="28"/>
          <w:szCs w:val="28"/>
          <w:lang w:eastAsia="it-IT"/>
          <w14:ligatures w14:val="none"/>
        </w:rPr>
      </w:pPr>
    </w:p>
    <w:p w14:paraId="6CAF6F3E" w14:textId="408F0772" w:rsidR="00391473" w:rsidRPr="00391473" w:rsidRDefault="00391473" w:rsidP="0039147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</w:pPr>
      <w:r w:rsidRPr="00391473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>Il servizio di misura dell'energia elettrica si riferisce alle seguenti attività:</w:t>
      </w:r>
    </w:p>
    <w:p w14:paraId="214B8633" w14:textId="77777777" w:rsidR="00391473" w:rsidRPr="00391473" w:rsidRDefault="00391473" w:rsidP="00391473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</w:pPr>
      <w:r w:rsidRPr="00391473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>installazione e manutenzione dei misuratori;</w:t>
      </w:r>
    </w:p>
    <w:p w14:paraId="696822EC" w14:textId="77777777" w:rsidR="00391473" w:rsidRPr="00391473" w:rsidRDefault="00391473" w:rsidP="00391473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</w:pPr>
      <w:r w:rsidRPr="00391473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>raccolta delle misure dell'energia elettrica prodotta e immessa;</w:t>
      </w:r>
    </w:p>
    <w:p w14:paraId="5B10B41D" w14:textId="03F6B8C5" w:rsidR="00391473" w:rsidRDefault="00391473" w:rsidP="00391473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</w:pPr>
      <w:r w:rsidRPr="00391473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>validazione, registrazione</w:t>
      </w:r>
      <w:r w:rsidR="00034446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 xml:space="preserve">, </w:t>
      </w:r>
      <w:r w:rsidRPr="00391473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 xml:space="preserve">messa a disposizione </w:t>
      </w:r>
      <w:r w:rsidR="00034446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 xml:space="preserve">e </w:t>
      </w:r>
      <w:r w:rsidR="00034446" w:rsidRPr="00391473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>trasmissione delle misure dell’impianto al GSE (Gestore Servizio Elettrico)</w:t>
      </w:r>
    </w:p>
    <w:p w14:paraId="47D14B86" w14:textId="77777777" w:rsidR="00034446" w:rsidRPr="00391473" w:rsidRDefault="00034446" w:rsidP="00034446">
      <w:pPr>
        <w:spacing w:after="0" w:line="240" w:lineRule="auto"/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</w:pPr>
    </w:p>
    <w:p w14:paraId="42804946" w14:textId="723A7B3C" w:rsidR="00034446" w:rsidRDefault="00034446" w:rsidP="0003444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</w:pPr>
      <w:r w:rsidRPr="00034446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>Il servizio di misura dell’energia elettrica è disciplinato dal</w:t>
      </w:r>
      <w:r w:rsidR="001C4806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 xml:space="preserve"> </w:t>
      </w:r>
      <w:r w:rsidRPr="00034446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 xml:space="preserve">TIME - Testo integrato delle disposizioni per la regolazione dell’attività di misura </w:t>
      </w:r>
      <w:r w:rsidR="001C4806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 xml:space="preserve">- </w:t>
      </w:r>
      <w:r w:rsidRPr="00034446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 xml:space="preserve">dell’Autorità di Regolazione per l’Energia le Reti e l’Ambiente. </w:t>
      </w:r>
    </w:p>
    <w:p w14:paraId="78D6A677" w14:textId="77777777" w:rsidR="00E711B8" w:rsidRDefault="00391473" w:rsidP="00E711B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</w:pPr>
      <w:r w:rsidRPr="00391473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 xml:space="preserve">Di seguito sono rappresentate le componenti delle tariffe obbligatorie per il servizio di distribuzione </w:t>
      </w:r>
      <w:r w:rsidR="00034446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>come da ultime aggiornate con</w:t>
      </w:r>
      <w:r w:rsidRPr="00391473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 xml:space="preserve"> delibera </w:t>
      </w:r>
      <w:hyperlink r:id="rId5" w:history="1">
        <w:r w:rsidR="00034446" w:rsidRPr="00391473">
          <w:rPr>
            <w:rFonts w:ascii="Tahoma" w:eastAsia="Times New Roman" w:hAnsi="Tahoma" w:cs="Tahoma"/>
            <w:color w:val="0000FF"/>
            <w:kern w:val="0"/>
            <w:sz w:val="20"/>
            <w:szCs w:val="20"/>
            <w:u w:val="single"/>
            <w:lang w:eastAsia="it-IT"/>
            <w14:ligatures w14:val="none"/>
          </w:rPr>
          <w:t>630/2023/R/</w:t>
        </w:r>
        <w:proofErr w:type="spellStart"/>
        <w:r w:rsidR="00034446" w:rsidRPr="00391473">
          <w:rPr>
            <w:rFonts w:ascii="Tahoma" w:eastAsia="Times New Roman" w:hAnsi="Tahoma" w:cs="Tahoma"/>
            <w:color w:val="0000FF"/>
            <w:kern w:val="0"/>
            <w:sz w:val="20"/>
            <w:szCs w:val="20"/>
            <w:u w:val="single"/>
            <w:lang w:eastAsia="it-IT"/>
            <w14:ligatures w14:val="none"/>
          </w:rPr>
          <w:t>eel</w:t>
        </w:r>
        <w:proofErr w:type="spellEnd"/>
      </w:hyperlink>
      <w:r w:rsidR="00034446" w:rsidRPr="00391473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>.</w:t>
      </w:r>
    </w:p>
    <w:p w14:paraId="3D751A85" w14:textId="388F5042" w:rsidR="00E711B8" w:rsidRDefault="00E711B8" w:rsidP="00E711B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</w:pPr>
      <w:r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>Per la determinazione del corrispettivo di misura si fa riferimento al livello di tensione del punto in cui viene installato il misuratore.</w:t>
      </w:r>
    </w:p>
    <w:p w14:paraId="56F121D1" w14:textId="193DA424" w:rsidR="00391473" w:rsidRPr="00391473" w:rsidRDefault="00391473" w:rsidP="00E711B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</w:pPr>
      <w:r w:rsidRPr="00391473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>Costi annuali previsti per il servizio di misura (in euro)</w:t>
      </w:r>
      <w:r w:rsidR="00D45A2D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 xml:space="preserve"> </w:t>
      </w:r>
      <w:r w:rsidR="00D45A2D" w:rsidRPr="00D45A2D">
        <w:rPr>
          <w:rFonts w:ascii="Tahoma" w:eastAsia="Times New Roman" w:hAnsi="Tahoma" w:cs="Tahoma"/>
          <w:b/>
          <w:bCs/>
          <w:color w:val="3A7C22" w:themeColor="accent6" w:themeShade="BF"/>
          <w:kern w:val="0"/>
          <w:sz w:val="20"/>
          <w:szCs w:val="20"/>
          <w:lang w:eastAsia="it-IT"/>
          <w14:ligatures w14:val="none"/>
        </w:rPr>
        <w:t>– TABELLE TIME -</w:t>
      </w:r>
      <w:r w:rsidR="00D45A2D" w:rsidRPr="00D45A2D">
        <w:rPr>
          <w:rFonts w:ascii="Tahoma" w:eastAsia="Times New Roman" w:hAnsi="Tahoma" w:cs="Tahoma"/>
          <w:color w:val="3A7C22" w:themeColor="accent6" w:themeShade="BF"/>
          <w:kern w:val="0"/>
          <w:sz w:val="20"/>
          <w:szCs w:val="20"/>
          <w:lang w:eastAsia="it-IT"/>
          <w14:ligatures w14:val="none"/>
        </w:rPr>
        <w:t xml:space="preserve"> </w:t>
      </w:r>
    </w:p>
    <w:tbl>
      <w:tblPr>
        <w:tblW w:w="1003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3"/>
        <w:gridCol w:w="816"/>
        <w:gridCol w:w="908"/>
        <w:gridCol w:w="866"/>
        <w:gridCol w:w="867"/>
        <w:gridCol w:w="840"/>
        <w:gridCol w:w="727"/>
      </w:tblGrid>
      <w:tr w:rsidR="00323B4C" w:rsidRPr="00391473" w14:paraId="49BE58DF" w14:textId="77777777" w:rsidTr="00AB189D">
        <w:trPr>
          <w:trHeight w:val="295"/>
          <w:jc w:val="center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66"/>
            <w:vAlign w:val="center"/>
            <w:hideMark/>
          </w:tcPr>
          <w:p w14:paraId="008DD55C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>Tipo di fornitura/ Tariffa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66"/>
            <w:vAlign w:val="center"/>
          </w:tcPr>
          <w:p w14:paraId="5C3EE76A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>2020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66"/>
            <w:vAlign w:val="center"/>
            <w:hideMark/>
          </w:tcPr>
          <w:p w14:paraId="7440A1CD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>2021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66"/>
            <w:vAlign w:val="center"/>
            <w:hideMark/>
          </w:tcPr>
          <w:p w14:paraId="6E8C2809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>2022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66"/>
            <w:vAlign w:val="center"/>
            <w:hideMark/>
          </w:tcPr>
          <w:p w14:paraId="11E8D723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>2023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66"/>
            <w:vAlign w:val="center"/>
          </w:tcPr>
          <w:p w14:paraId="2C92028D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>2024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66"/>
            <w:vAlign w:val="center"/>
          </w:tcPr>
          <w:p w14:paraId="7878B4D5" w14:textId="77777777" w:rsidR="00323B4C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  <w14:ligatures w14:val="none"/>
              </w:rPr>
              <w:t>2025</w:t>
            </w:r>
          </w:p>
        </w:tc>
      </w:tr>
      <w:tr w:rsidR="00323B4C" w:rsidRPr="00391473" w14:paraId="365D5C5B" w14:textId="77777777" w:rsidTr="00AB189D">
        <w:trPr>
          <w:trHeight w:hRule="exact" w:val="397"/>
          <w:jc w:val="center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266448D7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Utenze in bassa tensione di illuminazione pubblica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</w:tcPr>
          <w:p w14:paraId="704B342C" w14:textId="77777777" w:rsidR="00323B4C" w:rsidRPr="003438B0" w:rsidRDefault="00323B4C" w:rsidP="0068014C">
            <w:pPr>
              <w:spacing w:after="0" w:line="240" w:lineRule="auto"/>
              <w:jc w:val="center"/>
            </w:pP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101D748C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438B0"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550CDC60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438B0"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696F2D95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438B0"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</w:tcPr>
          <w:p w14:paraId="69349DBE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438B0">
              <w:t>-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</w:tcPr>
          <w:p w14:paraId="22948274" w14:textId="77777777" w:rsidR="00323B4C" w:rsidRPr="003438B0" w:rsidRDefault="00323B4C" w:rsidP="0068014C">
            <w:pPr>
              <w:spacing w:after="0" w:line="240" w:lineRule="auto"/>
              <w:jc w:val="center"/>
            </w:pPr>
          </w:p>
        </w:tc>
      </w:tr>
      <w:tr w:rsidR="00323B4C" w:rsidRPr="00391473" w14:paraId="5785C06C" w14:textId="77777777" w:rsidTr="00AB189D">
        <w:trPr>
          <w:trHeight w:hRule="exact" w:val="397"/>
          <w:jc w:val="center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CDC16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Utenze in bassa tensione per ricarica veicoli elettrici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40758" w14:textId="77777777" w:rsidR="00323B4C" w:rsidRPr="004F727C" w:rsidRDefault="00323B4C" w:rsidP="0068014C">
            <w:pPr>
              <w:spacing w:after="0" w:line="240" w:lineRule="auto"/>
              <w:jc w:val="center"/>
            </w:pP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A7C29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727C"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9E56C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727C"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32060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727C"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DC8EF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F727C">
              <w:t>-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24C4C" w14:textId="77777777" w:rsidR="00323B4C" w:rsidRPr="004F727C" w:rsidRDefault="00323B4C" w:rsidP="0068014C">
            <w:pPr>
              <w:spacing w:after="0" w:line="240" w:lineRule="auto"/>
              <w:jc w:val="center"/>
            </w:pPr>
          </w:p>
        </w:tc>
      </w:tr>
      <w:tr w:rsidR="00323B4C" w:rsidRPr="00391473" w14:paraId="244D261B" w14:textId="77777777" w:rsidTr="00AB189D">
        <w:trPr>
          <w:trHeight w:hRule="exact" w:val="397"/>
          <w:jc w:val="center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4133CDA5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Altre utenze in bassa tensione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</w:tcPr>
          <w:p w14:paraId="7B6507AF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18,20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6DE4AF1F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18,31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791F1D7D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17,22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39BB2D89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18,49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</w:tcPr>
          <w:p w14:paraId="5CCEB49D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18,85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</w:tcPr>
          <w:p w14:paraId="00F3CEB2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19.69</w:t>
            </w:r>
          </w:p>
        </w:tc>
      </w:tr>
      <w:tr w:rsidR="00323B4C" w:rsidRPr="00391473" w14:paraId="2D94C1B2" w14:textId="77777777" w:rsidTr="00AB189D">
        <w:trPr>
          <w:trHeight w:hRule="exact" w:val="397"/>
          <w:jc w:val="center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BB06D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Utenze in media tensione di illuminazione pubblica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C2A0A" w14:textId="77777777" w:rsidR="00323B4C" w:rsidRPr="00310013" w:rsidRDefault="00323B4C" w:rsidP="0068014C">
            <w:pPr>
              <w:spacing w:after="0" w:line="240" w:lineRule="auto"/>
              <w:jc w:val="center"/>
            </w:pP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59B18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10013"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BE347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10013"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AE281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10013"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01BD3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8609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82088" w14:textId="77777777" w:rsidR="00323B4C" w:rsidRPr="0028609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323B4C" w:rsidRPr="00391473" w14:paraId="1E726D3A" w14:textId="77777777" w:rsidTr="00AB189D">
        <w:trPr>
          <w:trHeight w:hRule="exact" w:val="397"/>
          <w:jc w:val="center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3ED79DA9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Altre utenze in media tensione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</w:tcPr>
          <w:p w14:paraId="70C8279F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234,66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49A4E6B0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239,05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5632C561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220,9</w:t>
            </w: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74CAF31A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222,95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</w:tcPr>
          <w:p w14:paraId="28DD169F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246,67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</w:tcPr>
          <w:p w14:paraId="44B99413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264,36</w:t>
            </w:r>
          </w:p>
        </w:tc>
      </w:tr>
      <w:tr w:rsidR="00323B4C" w:rsidRPr="00391473" w14:paraId="5C2FC197" w14:textId="77777777" w:rsidTr="00AB189D">
        <w:trPr>
          <w:trHeight w:hRule="exact" w:val="397"/>
          <w:jc w:val="center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5191F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Utenze in alta tensione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185F0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954,77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C338E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1.048,45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2D9F4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907,37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039C9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748,9</w:t>
            </w: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5AD30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784,93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1C3C2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774,62</w:t>
            </w:r>
          </w:p>
        </w:tc>
      </w:tr>
      <w:tr w:rsidR="00323B4C" w:rsidRPr="00391473" w14:paraId="3EE74C2A" w14:textId="77777777" w:rsidTr="00AB189D">
        <w:trPr>
          <w:trHeight w:hRule="exact" w:val="397"/>
          <w:jc w:val="center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2F22AF13" w14:textId="0F2B7111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Utenze in altissima tensione, con tensione </w:t>
            </w:r>
            <w:r w:rsidR="00AB189D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&lt;</w:t>
            </w: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380 kV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</w:tcPr>
          <w:p w14:paraId="6F9B1F84" w14:textId="2D10E565" w:rsidR="00323B4C" w:rsidRPr="00391473" w:rsidRDefault="00323B4C" w:rsidP="00AB189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954,77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2D150157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1.048,45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19E14026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907,37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  <w:hideMark/>
          </w:tcPr>
          <w:p w14:paraId="7166A79A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748,9</w:t>
            </w: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</w:tcPr>
          <w:p w14:paraId="0A38A8D3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784,93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9FF"/>
            <w:vAlign w:val="center"/>
          </w:tcPr>
          <w:p w14:paraId="3AB14D17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774,62</w:t>
            </w:r>
          </w:p>
        </w:tc>
      </w:tr>
      <w:tr w:rsidR="00323B4C" w:rsidRPr="00391473" w14:paraId="1606B3D0" w14:textId="77777777" w:rsidTr="00AB189D">
        <w:trPr>
          <w:trHeight w:hRule="exact" w:val="397"/>
          <w:jc w:val="center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1B4CF" w14:textId="51D330FA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Utenze in altissima tensione, con tensione </w:t>
            </w:r>
            <w:r w:rsidR="00AB189D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≥ </w:t>
            </w: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380 kV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242F7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954,77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FC86F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1.048,45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927D5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907,37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A0A97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748,9</w:t>
            </w: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5387E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1473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784,93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51A82" w14:textId="77777777" w:rsidR="00323B4C" w:rsidRPr="00391473" w:rsidRDefault="00323B4C" w:rsidP="0068014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774,62</w:t>
            </w:r>
          </w:p>
        </w:tc>
      </w:tr>
    </w:tbl>
    <w:p w14:paraId="7C6AB32E" w14:textId="77777777" w:rsidR="00034446" w:rsidRDefault="00034446" w:rsidP="00034446">
      <w:pPr>
        <w:shd w:val="clear" w:color="auto" w:fill="FFFFFF"/>
        <w:spacing w:after="240" w:line="240" w:lineRule="auto"/>
        <w:textAlignment w:val="baseline"/>
      </w:pPr>
    </w:p>
    <w:p w14:paraId="5458E813" w14:textId="2E0AD0D8" w:rsidR="001C4806" w:rsidRPr="00FE6D98" w:rsidRDefault="00034446" w:rsidP="00034446">
      <w:pPr>
        <w:shd w:val="clear" w:color="auto" w:fill="FFFFFF"/>
        <w:spacing w:after="240" w:line="240" w:lineRule="auto"/>
        <w:textAlignment w:val="baseline"/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</w:pPr>
      <w:r w:rsidRPr="00034446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>Per gli</w:t>
      </w:r>
      <w:r w:rsidRPr="00034446">
        <w:rPr>
          <w:rFonts w:ascii="Tahoma" w:eastAsia="Times New Roman" w:hAnsi="Tahoma" w:cs="Tahoma"/>
          <w:b/>
          <w:bCs/>
          <w:color w:val="4B4F58"/>
          <w:kern w:val="0"/>
          <w:sz w:val="20"/>
          <w:szCs w:val="20"/>
          <w:lang w:eastAsia="it-IT"/>
          <w14:ligatures w14:val="none"/>
        </w:rPr>
        <w:t> impianti di produzione</w:t>
      </w:r>
      <w:r w:rsidR="001C4806" w:rsidRPr="00FE6D98">
        <w:rPr>
          <w:rFonts w:ascii="Tahoma" w:eastAsia="Times New Roman" w:hAnsi="Tahoma" w:cs="Tahoma"/>
          <w:b/>
          <w:bCs/>
          <w:color w:val="4B4F58"/>
          <w:kern w:val="0"/>
          <w:sz w:val="20"/>
          <w:szCs w:val="20"/>
          <w:lang w:eastAsia="it-IT"/>
          <w14:ligatures w14:val="none"/>
        </w:rPr>
        <w:t xml:space="preserve"> con tensione sul punto di connessione alla rete </w:t>
      </w:r>
      <w:r w:rsidRPr="00034446">
        <w:rPr>
          <w:rFonts w:ascii="Tahoma" w:eastAsia="Times New Roman" w:hAnsi="Tahoma" w:cs="Tahoma"/>
          <w:b/>
          <w:bCs/>
          <w:color w:val="4B4F58"/>
          <w:kern w:val="0"/>
          <w:sz w:val="20"/>
          <w:szCs w:val="20"/>
          <w:lang w:eastAsia="it-IT"/>
          <w14:ligatures w14:val="none"/>
        </w:rPr>
        <w:t>in bassa tensione</w:t>
      </w:r>
      <w:r w:rsidRPr="00034446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 xml:space="preserve">, </w:t>
      </w:r>
      <w:r w:rsidR="001C4806"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 xml:space="preserve">il soggetto responsabile dell’installazione e manutenzione dei misuratori e delle operazioni di gestione dei dati di misura, nonché di natura commerciale, è il gestore della rete </w:t>
      </w:r>
      <w:r w:rsidR="00291BC4"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 xml:space="preserve">(V-Reti) </w:t>
      </w:r>
      <w:r w:rsidR="001C4806"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>a cui gli impianti di produzione sono connessi.</w:t>
      </w:r>
    </w:p>
    <w:p w14:paraId="43AB23CA" w14:textId="22C6AB35" w:rsidR="001C4806" w:rsidRPr="00FE6D98" w:rsidRDefault="001C4806" w:rsidP="00291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</w:pPr>
      <w:r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 xml:space="preserve">Per gli </w:t>
      </w:r>
      <w:r w:rsidRPr="00FE6D98">
        <w:rPr>
          <w:rFonts w:ascii="Tahoma" w:eastAsia="Times New Roman" w:hAnsi="Tahoma" w:cs="Tahoma"/>
          <w:b/>
          <w:bCs/>
          <w:color w:val="4B4F58"/>
          <w:kern w:val="0"/>
          <w:sz w:val="20"/>
          <w:szCs w:val="20"/>
          <w:lang w:eastAsia="it-IT"/>
          <w14:ligatures w14:val="none"/>
        </w:rPr>
        <w:t>impianti di produzione con tensione sul punto di connessione alla rete in media tensione</w:t>
      </w:r>
      <w:r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 xml:space="preserve"> l'attività di installazione e manutenzione delle apparecchiature di misura è in carico al produttore, che può decidere di affidarle al gestore di rete. </w:t>
      </w:r>
      <w:r w:rsidRPr="00034446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>Nel caso in cui il produttore decida di affidare al gestore di rete le suddette attività, il produttore potrà richiedere un preventivo per la fornitura e l’istallazione dello specifico misuratore</w:t>
      </w:r>
      <w:r w:rsidR="00291BC4"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 xml:space="preserve"> e sarà tenuto </w:t>
      </w:r>
      <w:r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 xml:space="preserve">a riconoscere </w:t>
      </w:r>
      <w:r w:rsidR="00291BC4"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>a V-Reti</w:t>
      </w:r>
      <w:r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 xml:space="preserve"> </w:t>
      </w:r>
      <w:r w:rsidR="00291BC4"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>il</w:t>
      </w:r>
      <w:r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 xml:space="preserve"> corrispettivo </w:t>
      </w:r>
      <w:r w:rsidR="00291BC4"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 xml:space="preserve">da quest’ultima </w:t>
      </w:r>
      <w:r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 xml:space="preserve">definito </w:t>
      </w:r>
      <w:r w:rsidR="00291BC4"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 xml:space="preserve">a copertura delle attività svolte </w:t>
      </w:r>
      <w:r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>e applicato in maniera trasparente e non discriminatoria.</w:t>
      </w:r>
    </w:p>
    <w:p w14:paraId="09CCB823" w14:textId="77777777" w:rsidR="00291BC4" w:rsidRDefault="00291BC4" w:rsidP="00291BC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B4F58"/>
          <w:kern w:val="0"/>
          <w:lang w:eastAsia="it-IT"/>
          <w14:ligatures w14:val="none"/>
        </w:rPr>
      </w:pPr>
    </w:p>
    <w:p w14:paraId="122A75E1" w14:textId="27232199" w:rsidR="00291BC4" w:rsidRPr="008C131E" w:rsidRDefault="00291BC4" w:rsidP="00291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</w:pPr>
      <w:r w:rsidRPr="008C131E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>Le operazioni di gestione dei dati di misura, nonché quelle di natura commerciale, rimangono sempre a carico del gestore di rete.</w:t>
      </w:r>
    </w:p>
    <w:p w14:paraId="095CAA49" w14:textId="77777777" w:rsidR="00CF5F10" w:rsidRPr="00FE6D98" w:rsidRDefault="00CF5F10" w:rsidP="00034446">
      <w:pPr>
        <w:shd w:val="clear" w:color="auto" w:fill="FFFFFF"/>
        <w:spacing w:after="240" w:line="240" w:lineRule="auto"/>
        <w:textAlignment w:val="baseline"/>
        <w:rPr>
          <w:rFonts w:ascii="Tahoma" w:eastAsia="Times New Roman" w:hAnsi="Tahoma" w:cs="Tahoma"/>
          <w:color w:val="4B4F58"/>
          <w:kern w:val="0"/>
          <w:lang w:eastAsia="it-IT"/>
          <w14:ligatures w14:val="none"/>
        </w:rPr>
      </w:pPr>
    </w:p>
    <w:p w14:paraId="2A983075" w14:textId="48DA2C67" w:rsidR="0098731D" w:rsidRPr="00FE6D98" w:rsidRDefault="00291BC4" w:rsidP="00034446">
      <w:pPr>
        <w:shd w:val="clear" w:color="auto" w:fill="FFFFFF"/>
        <w:spacing w:after="240" w:line="240" w:lineRule="auto"/>
        <w:textAlignment w:val="baseline"/>
        <w:rPr>
          <w:rFonts w:ascii="Tahoma" w:eastAsia="Times New Roman" w:hAnsi="Tahoma" w:cs="Tahoma"/>
          <w:b/>
          <w:bCs/>
          <w:smallCaps/>
          <w:color w:val="0070C0"/>
          <w:kern w:val="0"/>
          <w:sz w:val="22"/>
          <w:szCs w:val="22"/>
          <w:lang w:eastAsia="it-IT"/>
          <w14:ligatures w14:val="none"/>
        </w:rPr>
      </w:pPr>
      <w:r w:rsidRPr="00FE6D98">
        <w:rPr>
          <w:rFonts w:ascii="Tahoma" w:eastAsia="Times New Roman" w:hAnsi="Tahoma" w:cs="Tahoma"/>
          <w:b/>
          <w:bCs/>
          <w:smallCaps/>
          <w:color w:val="0070C0"/>
          <w:kern w:val="0"/>
          <w:sz w:val="22"/>
          <w:szCs w:val="22"/>
          <w:lang w:eastAsia="it-IT"/>
          <w14:ligatures w14:val="none"/>
        </w:rPr>
        <w:t>Per Impianti attivati entro il 26 agosto 2012 e per tutta la durata del contratto di misura:</w:t>
      </w: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797"/>
        <w:gridCol w:w="3582"/>
        <w:gridCol w:w="3254"/>
      </w:tblGrid>
      <w:tr w:rsidR="00F460A0" w:rsidRPr="00FE6D98" w14:paraId="566C2D39" w14:textId="77777777" w:rsidTr="00CC0636">
        <w:trPr>
          <w:trHeight w:val="277"/>
          <w:jc w:val="center"/>
        </w:trPr>
        <w:tc>
          <w:tcPr>
            <w:tcW w:w="9633" w:type="dxa"/>
            <w:gridSpan w:val="3"/>
            <w:shd w:val="clear" w:color="auto" w:fill="00CC99"/>
            <w:vAlign w:val="center"/>
          </w:tcPr>
          <w:p w14:paraId="0068FADA" w14:textId="7D1F5060" w:rsidR="00F460A0" w:rsidRPr="00CF5F10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0A0A0A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 xml:space="preserve">Corrispettivi per la misura dell’energia elettrica IMMESSA IN RETE </w:t>
            </w:r>
            <w:r w:rsidRPr="00CF5F10">
              <w:rPr>
                <w:rFonts w:ascii="Tahoma" w:eastAsia="Times New Roman" w:hAnsi="Tahoma" w:cs="Tahoma"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 xml:space="preserve">(IVA </w:t>
            </w:r>
            <w:proofErr w:type="spellStart"/>
            <w:r w:rsidRPr="00CF5F10">
              <w:rPr>
                <w:rFonts w:ascii="Tahoma" w:eastAsia="Times New Roman" w:hAnsi="Tahoma" w:cs="Tahoma"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>escl</w:t>
            </w:r>
            <w:proofErr w:type="spellEnd"/>
            <w:r w:rsidRPr="00CF5F10">
              <w:rPr>
                <w:rFonts w:ascii="Tahoma" w:eastAsia="Times New Roman" w:hAnsi="Tahoma" w:cs="Tahoma"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</w:tr>
      <w:tr w:rsidR="00CF5F10" w:rsidRPr="00FE6D98" w14:paraId="4663620E" w14:textId="75E5D43D" w:rsidTr="00CC0636">
        <w:trPr>
          <w:trHeight w:val="563"/>
          <w:jc w:val="center"/>
        </w:trPr>
        <w:tc>
          <w:tcPr>
            <w:tcW w:w="2797" w:type="dxa"/>
            <w:vAlign w:val="center"/>
          </w:tcPr>
          <w:p w14:paraId="6155769C" w14:textId="4C0240A9" w:rsidR="00F36F71" w:rsidRPr="00CF5F10" w:rsidRDefault="00F36F71" w:rsidP="00CF5F10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  <w:t>livello di tensione del punto di connessione</w:t>
            </w:r>
          </w:p>
        </w:tc>
        <w:tc>
          <w:tcPr>
            <w:tcW w:w="3582" w:type="dxa"/>
            <w:vAlign w:val="center"/>
          </w:tcPr>
          <w:p w14:paraId="26B43463" w14:textId="69551088" w:rsidR="00F36F71" w:rsidRPr="00CF5F10" w:rsidRDefault="00F36F71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  <w:t>Approvvigionamento e installazione apparecchiatura di misura</w:t>
            </w:r>
          </w:p>
        </w:tc>
        <w:tc>
          <w:tcPr>
            <w:tcW w:w="3254" w:type="dxa"/>
            <w:vAlign w:val="center"/>
          </w:tcPr>
          <w:p w14:paraId="6A4A7B26" w14:textId="7F6830A2" w:rsidR="00F36F71" w:rsidRPr="00CF5F10" w:rsidRDefault="00F36F71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  <w:t>Manutenzione apparecchiatura di misura</w:t>
            </w:r>
          </w:p>
        </w:tc>
      </w:tr>
      <w:tr w:rsidR="00CF5F10" w:rsidRPr="00FE6D98" w14:paraId="418CF671" w14:textId="22D1F370" w:rsidTr="00CC0636">
        <w:trPr>
          <w:trHeight w:val="256"/>
          <w:jc w:val="center"/>
        </w:trPr>
        <w:tc>
          <w:tcPr>
            <w:tcW w:w="2797" w:type="dxa"/>
            <w:vAlign w:val="center"/>
          </w:tcPr>
          <w:p w14:paraId="6DB59996" w14:textId="2A9C168E" w:rsidR="00F36F71" w:rsidRPr="00CF5F10" w:rsidRDefault="00F36F71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BT</w:t>
            </w:r>
          </w:p>
        </w:tc>
        <w:tc>
          <w:tcPr>
            <w:tcW w:w="3582" w:type="dxa"/>
            <w:vAlign w:val="center"/>
          </w:tcPr>
          <w:p w14:paraId="6AD1FBE9" w14:textId="0E016F20" w:rsidR="00F36F71" w:rsidRPr="00CF5F10" w:rsidRDefault="00F36F71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149 €/anno</w:t>
            </w:r>
          </w:p>
        </w:tc>
        <w:tc>
          <w:tcPr>
            <w:tcW w:w="3254" w:type="dxa"/>
            <w:vAlign w:val="center"/>
          </w:tcPr>
          <w:p w14:paraId="14BA138E" w14:textId="3BA892CB" w:rsidR="00F36F71" w:rsidRPr="00CF5F10" w:rsidRDefault="00F36F71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169 €/anno</w:t>
            </w:r>
          </w:p>
        </w:tc>
      </w:tr>
      <w:tr w:rsidR="00CF5F10" w:rsidRPr="00FE6D98" w14:paraId="28322221" w14:textId="794A959C" w:rsidTr="00CC0636">
        <w:trPr>
          <w:trHeight w:val="256"/>
          <w:jc w:val="center"/>
        </w:trPr>
        <w:tc>
          <w:tcPr>
            <w:tcW w:w="2797" w:type="dxa"/>
            <w:vAlign w:val="center"/>
          </w:tcPr>
          <w:p w14:paraId="57D72E4E" w14:textId="1CBB9EF5" w:rsidR="00F36F71" w:rsidRPr="00CF5F10" w:rsidRDefault="00F36F71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MT</w:t>
            </w:r>
          </w:p>
        </w:tc>
        <w:tc>
          <w:tcPr>
            <w:tcW w:w="3582" w:type="dxa"/>
            <w:vAlign w:val="center"/>
          </w:tcPr>
          <w:p w14:paraId="75185DB2" w14:textId="171688DD" w:rsidR="00F36F71" w:rsidRPr="00CF5F10" w:rsidRDefault="00F36F71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480 €/anno</w:t>
            </w:r>
          </w:p>
        </w:tc>
        <w:tc>
          <w:tcPr>
            <w:tcW w:w="3254" w:type="dxa"/>
            <w:vAlign w:val="center"/>
          </w:tcPr>
          <w:p w14:paraId="42CF5D11" w14:textId="4EAD0FEE" w:rsidR="00F36F71" w:rsidRPr="00CF5F10" w:rsidRDefault="00F36F71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150 €/anno</w:t>
            </w:r>
          </w:p>
        </w:tc>
      </w:tr>
    </w:tbl>
    <w:p w14:paraId="7FC45CE3" w14:textId="1A320040" w:rsidR="00391473" w:rsidRPr="00FE6D98" w:rsidRDefault="00391473" w:rsidP="00D45A2D">
      <w:pPr>
        <w:shd w:val="clear" w:color="auto" w:fill="FFFFFF"/>
        <w:spacing w:after="240" w:line="240" w:lineRule="auto"/>
        <w:textAlignment w:val="baseline"/>
        <w:rPr>
          <w:rFonts w:ascii="Tahoma" w:eastAsia="Times New Roman" w:hAnsi="Tahoma" w:cs="Tahoma"/>
          <w:i/>
          <w:iCs/>
          <w:color w:val="4B4F58"/>
          <w:kern w:val="0"/>
          <w:sz w:val="16"/>
          <w:szCs w:val="16"/>
          <w:lang w:eastAsia="it-IT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2403"/>
      </w:tblGrid>
      <w:tr w:rsidR="00D45A2D" w:rsidRPr="00FE6D98" w14:paraId="3257BEEB" w14:textId="77777777" w:rsidTr="00CF5F10">
        <w:trPr>
          <w:trHeight w:val="430"/>
          <w:jc w:val="center"/>
        </w:trPr>
        <w:tc>
          <w:tcPr>
            <w:tcW w:w="9628" w:type="dxa"/>
            <w:gridSpan w:val="4"/>
            <w:shd w:val="clear" w:color="auto" w:fill="92D050"/>
            <w:vAlign w:val="center"/>
          </w:tcPr>
          <w:p w14:paraId="1AB524F6" w14:textId="56C4376C" w:rsidR="00D45A2D" w:rsidRPr="00CF5F10" w:rsidRDefault="00D45A2D" w:rsidP="00C310E5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 xml:space="preserve">Corrispettivi per la misura dell’energia elettrica PRODOTTA </w:t>
            </w:r>
            <w:r w:rsidRPr="00CF5F10">
              <w:rPr>
                <w:rFonts w:ascii="Tahoma" w:eastAsia="Times New Roman" w:hAnsi="Tahoma" w:cs="Tahoma"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 xml:space="preserve">(IVA </w:t>
            </w:r>
            <w:proofErr w:type="spellStart"/>
            <w:r w:rsidRPr="00CF5F10">
              <w:rPr>
                <w:rFonts w:ascii="Tahoma" w:eastAsia="Times New Roman" w:hAnsi="Tahoma" w:cs="Tahoma"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>escl</w:t>
            </w:r>
            <w:proofErr w:type="spellEnd"/>
            <w:r w:rsidRPr="00CF5F10">
              <w:rPr>
                <w:rFonts w:ascii="Tahoma" w:eastAsia="Times New Roman" w:hAnsi="Tahoma" w:cs="Tahoma"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</w:tr>
      <w:tr w:rsidR="00D45A2D" w:rsidRPr="00CF5F10" w14:paraId="11A78E4F" w14:textId="77777777" w:rsidTr="00CF5F10">
        <w:trPr>
          <w:trHeight w:val="564"/>
          <w:jc w:val="center"/>
        </w:trPr>
        <w:tc>
          <w:tcPr>
            <w:tcW w:w="2263" w:type="dxa"/>
            <w:vAlign w:val="center"/>
          </w:tcPr>
          <w:p w14:paraId="6B441722" w14:textId="77777777" w:rsidR="00D45A2D" w:rsidRPr="00CF5F10" w:rsidRDefault="00D45A2D" w:rsidP="00CF5F10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  <w:t>livello di tensione del punto di connessione</w:t>
            </w:r>
          </w:p>
        </w:tc>
        <w:tc>
          <w:tcPr>
            <w:tcW w:w="2552" w:type="dxa"/>
            <w:vAlign w:val="center"/>
          </w:tcPr>
          <w:p w14:paraId="2E38646B" w14:textId="77777777" w:rsidR="00D45A2D" w:rsidRPr="00CF5F10" w:rsidRDefault="00D45A2D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  <w:t xml:space="preserve">Approvvigionamento e installazione apparecchiatura di misura </w:t>
            </w:r>
          </w:p>
        </w:tc>
        <w:tc>
          <w:tcPr>
            <w:tcW w:w="2410" w:type="dxa"/>
            <w:vAlign w:val="center"/>
          </w:tcPr>
          <w:p w14:paraId="44713A75" w14:textId="77777777" w:rsidR="00D45A2D" w:rsidRPr="00CF5F10" w:rsidRDefault="00D45A2D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  <w:t xml:space="preserve">Manutenzione apparecchiatura di misura </w:t>
            </w:r>
          </w:p>
        </w:tc>
        <w:tc>
          <w:tcPr>
            <w:tcW w:w="2403" w:type="dxa"/>
          </w:tcPr>
          <w:p w14:paraId="46DC6F53" w14:textId="4124562E" w:rsidR="00D45A2D" w:rsidRPr="00CF5F10" w:rsidRDefault="00D45A2D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  <w:t>Rilevazione, registrazione e validazione delle misure</w:t>
            </w:r>
          </w:p>
        </w:tc>
      </w:tr>
      <w:tr w:rsidR="00723650" w:rsidRPr="00FE6D98" w14:paraId="112B9A7E" w14:textId="77777777" w:rsidTr="00CF5F10">
        <w:trPr>
          <w:trHeight w:val="358"/>
          <w:jc w:val="center"/>
        </w:trPr>
        <w:tc>
          <w:tcPr>
            <w:tcW w:w="2263" w:type="dxa"/>
            <w:vAlign w:val="center"/>
          </w:tcPr>
          <w:p w14:paraId="640B274B" w14:textId="6E047E7C" w:rsidR="00723650" w:rsidRPr="00CF5F10" w:rsidRDefault="0072365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BT fino a 20 kW</w:t>
            </w:r>
          </w:p>
        </w:tc>
        <w:tc>
          <w:tcPr>
            <w:tcW w:w="7365" w:type="dxa"/>
            <w:gridSpan w:val="3"/>
            <w:vAlign w:val="center"/>
          </w:tcPr>
          <w:p w14:paraId="55F0C7BE" w14:textId="55A43E45" w:rsidR="00723650" w:rsidRPr="00CF5F10" w:rsidRDefault="00723650" w:rsidP="0072365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3A7C22" w:themeColor="accent6" w:themeShade="BF"/>
                <w:kern w:val="0"/>
                <w:sz w:val="18"/>
                <w:szCs w:val="18"/>
                <w:lang w:eastAsia="it-IT"/>
                <w14:ligatures w14:val="none"/>
              </w:rPr>
              <w:t>Tabelle TIME</w:t>
            </w:r>
          </w:p>
        </w:tc>
      </w:tr>
      <w:tr w:rsidR="00D45A2D" w:rsidRPr="00FE6D98" w14:paraId="425ED000" w14:textId="77777777" w:rsidTr="00CF5F10">
        <w:trPr>
          <w:jc w:val="center"/>
        </w:trPr>
        <w:tc>
          <w:tcPr>
            <w:tcW w:w="2263" w:type="dxa"/>
            <w:vAlign w:val="center"/>
          </w:tcPr>
          <w:p w14:paraId="12D46EFE" w14:textId="1BC04172" w:rsidR="00D45A2D" w:rsidRPr="00CF5F10" w:rsidRDefault="00D45A2D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BT superiore a 20 kW</w:t>
            </w:r>
          </w:p>
        </w:tc>
        <w:tc>
          <w:tcPr>
            <w:tcW w:w="2552" w:type="dxa"/>
            <w:vAlign w:val="center"/>
          </w:tcPr>
          <w:p w14:paraId="7AB2CCED" w14:textId="10E0E2CB" w:rsidR="00D45A2D" w:rsidRPr="00CF5F10" w:rsidRDefault="00D45A2D" w:rsidP="00CF5F10">
            <w:pPr>
              <w:spacing w:after="24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CF5F10">
              <w:rPr>
                <w:rFonts w:ascii="Tahoma" w:hAnsi="Tahoma" w:cs="Tahoma"/>
                <w:sz w:val="18"/>
                <w:szCs w:val="18"/>
              </w:rPr>
              <w:t>149 €/anno</w:t>
            </w:r>
          </w:p>
        </w:tc>
        <w:tc>
          <w:tcPr>
            <w:tcW w:w="2410" w:type="dxa"/>
            <w:vAlign w:val="center"/>
          </w:tcPr>
          <w:p w14:paraId="386CAB51" w14:textId="31DD90BD" w:rsidR="00D45A2D" w:rsidRPr="00CF5F10" w:rsidRDefault="00D45A2D" w:rsidP="00CF5F10">
            <w:pPr>
              <w:spacing w:after="24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CF5F10">
              <w:rPr>
                <w:rFonts w:ascii="Tahoma" w:hAnsi="Tahoma" w:cs="Tahoma"/>
                <w:sz w:val="18"/>
                <w:szCs w:val="18"/>
              </w:rPr>
              <w:t>169 €/anno</w:t>
            </w:r>
          </w:p>
        </w:tc>
        <w:tc>
          <w:tcPr>
            <w:tcW w:w="2403" w:type="dxa"/>
          </w:tcPr>
          <w:p w14:paraId="3BF508C9" w14:textId="3BC04AA8" w:rsidR="00D45A2D" w:rsidRPr="00CF5F10" w:rsidRDefault="00723650" w:rsidP="00CF5F10">
            <w:pPr>
              <w:spacing w:after="24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CF5F10">
              <w:rPr>
                <w:rFonts w:ascii="Tahoma" w:hAnsi="Tahoma" w:cs="Tahoma"/>
                <w:sz w:val="18"/>
                <w:szCs w:val="18"/>
              </w:rPr>
              <w:t>12</w:t>
            </w:r>
            <w:r w:rsidR="00F36F71" w:rsidRPr="00CF5F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F5F10">
              <w:rPr>
                <w:rFonts w:ascii="Tahoma" w:hAnsi="Tahoma" w:cs="Tahoma"/>
                <w:sz w:val="18"/>
                <w:szCs w:val="18"/>
              </w:rPr>
              <w:t>€/anno</w:t>
            </w:r>
          </w:p>
        </w:tc>
      </w:tr>
      <w:tr w:rsidR="00F36F71" w:rsidRPr="00FE6D98" w14:paraId="172936F0" w14:textId="77777777" w:rsidTr="00CF5F10">
        <w:trPr>
          <w:jc w:val="center"/>
        </w:trPr>
        <w:tc>
          <w:tcPr>
            <w:tcW w:w="2263" w:type="dxa"/>
            <w:vAlign w:val="center"/>
          </w:tcPr>
          <w:p w14:paraId="6955E222" w14:textId="711F82E2" w:rsidR="00F36F71" w:rsidRPr="00CF5F10" w:rsidRDefault="00F36F71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MT</w:t>
            </w:r>
          </w:p>
        </w:tc>
        <w:tc>
          <w:tcPr>
            <w:tcW w:w="2552" w:type="dxa"/>
          </w:tcPr>
          <w:p w14:paraId="1ED12C1D" w14:textId="1E6932EE" w:rsidR="00F36F71" w:rsidRPr="00CF5F10" w:rsidRDefault="00F36F71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hAnsi="Tahoma" w:cs="Tahoma"/>
                <w:sz w:val="18"/>
                <w:szCs w:val="18"/>
              </w:rPr>
              <w:t>231 €/anno</w:t>
            </w:r>
          </w:p>
        </w:tc>
        <w:tc>
          <w:tcPr>
            <w:tcW w:w="2410" w:type="dxa"/>
          </w:tcPr>
          <w:p w14:paraId="59960E61" w14:textId="6C9F8DC3" w:rsidR="00F36F71" w:rsidRPr="00CF5F10" w:rsidRDefault="00F36F71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hAnsi="Tahoma" w:cs="Tahoma"/>
                <w:sz w:val="18"/>
                <w:szCs w:val="18"/>
              </w:rPr>
              <w:t>234 €/anno</w:t>
            </w:r>
          </w:p>
        </w:tc>
        <w:tc>
          <w:tcPr>
            <w:tcW w:w="2403" w:type="dxa"/>
          </w:tcPr>
          <w:p w14:paraId="6CB281C4" w14:textId="2F892795" w:rsidR="00F36F71" w:rsidRPr="00CF5F10" w:rsidRDefault="00F36F71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hAnsi="Tahoma" w:cs="Tahoma"/>
                <w:sz w:val="18"/>
                <w:szCs w:val="18"/>
              </w:rPr>
              <w:t>100 €/anno</w:t>
            </w:r>
          </w:p>
        </w:tc>
      </w:tr>
    </w:tbl>
    <w:p w14:paraId="0A92B85A" w14:textId="77777777" w:rsidR="00E711B8" w:rsidRPr="00FE6D98" w:rsidRDefault="00E711B8">
      <w:pPr>
        <w:rPr>
          <w:rFonts w:ascii="Tahoma" w:eastAsia="Times New Roman" w:hAnsi="Tahoma" w:cs="Tahoma"/>
          <w:color w:val="4B4F58"/>
          <w:kern w:val="0"/>
          <w:lang w:eastAsia="it-IT"/>
          <w14:ligatures w14:val="none"/>
        </w:rPr>
      </w:pPr>
    </w:p>
    <w:p w14:paraId="0B082D57" w14:textId="462E8A58" w:rsidR="00F460A0" w:rsidRPr="00FE6D98" w:rsidRDefault="00F460A0" w:rsidP="00F460A0">
      <w:pPr>
        <w:shd w:val="clear" w:color="auto" w:fill="FFFFFF"/>
        <w:spacing w:after="240" w:line="240" w:lineRule="auto"/>
        <w:textAlignment w:val="baseline"/>
        <w:rPr>
          <w:rFonts w:ascii="Tahoma" w:eastAsia="Times New Roman" w:hAnsi="Tahoma" w:cs="Tahoma"/>
          <w:b/>
          <w:bCs/>
          <w:smallCaps/>
          <w:color w:val="0070C0"/>
          <w:kern w:val="0"/>
          <w:sz w:val="22"/>
          <w:szCs w:val="22"/>
          <w:lang w:eastAsia="it-IT"/>
          <w14:ligatures w14:val="none"/>
        </w:rPr>
      </w:pPr>
      <w:r w:rsidRPr="00FE6D98">
        <w:rPr>
          <w:rFonts w:ascii="Tahoma" w:eastAsia="Times New Roman" w:hAnsi="Tahoma" w:cs="Tahoma"/>
          <w:b/>
          <w:bCs/>
          <w:smallCaps/>
          <w:color w:val="0070C0"/>
          <w:kern w:val="0"/>
          <w:sz w:val="22"/>
          <w:szCs w:val="22"/>
          <w:lang w:eastAsia="it-IT"/>
          <w14:ligatures w14:val="none"/>
        </w:rPr>
        <w:t>Per Impianti attivati dopo il 26 agosto 2012 e per tutta la durata del contratto di misura: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685"/>
        <w:gridCol w:w="3254"/>
      </w:tblGrid>
      <w:tr w:rsidR="00F460A0" w:rsidRPr="00FE6D98" w14:paraId="1ACF0119" w14:textId="77777777" w:rsidTr="00CF5F10">
        <w:trPr>
          <w:trHeight w:val="483"/>
          <w:jc w:val="center"/>
        </w:trPr>
        <w:tc>
          <w:tcPr>
            <w:tcW w:w="9628" w:type="dxa"/>
            <w:gridSpan w:val="3"/>
            <w:shd w:val="clear" w:color="auto" w:fill="00CC99"/>
            <w:vAlign w:val="center"/>
          </w:tcPr>
          <w:p w14:paraId="69CA8EA3" w14:textId="3E79B797" w:rsidR="00F460A0" w:rsidRPr="00FE6D98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0A0A0A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 xml:space="preserve">Corrispettivi per la misura dell’energia elettrica IMMESSA IN RETE (IVA </w:t>
            </w:r>
            <w:proofErr w:type="spellStart"/>
            <w:r w:rsidRPr="00CF5F10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>escl</w:t>
            </w:r>
            <w:proofErr w:type="spellEnd"/>
            <w:r w:rsidRPr="00CF5F10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</w:tr>
      <w:tr w:rsidR="00F460A0" w:rsidRPr="00FE6D98" w14:paraId="0FB23688" w14:textId="77777777" w:rsidTr="00CF5F10">
        <w:trPr>
          <w:trHeight w:val="719"/>
          <w:jc w:val="center"/>
        </w:trPr>
        <w:tc>
          <w:tcPr>
            <w:tcW w:w="2689" w:type="dxa"/>
            <w:vAlign w:val="center"/>
          </w:tcPr>
          <w:p w14:paraId="53C0297D" w14:textId="77777777" w:rsidR="00F460A0" w:rsidRPr="00CF5F10" w:rsidRDefault="00F460A0" w:rsidP="00CF5F10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  <w:t>livello di tensione del punto di connessione</w:t>
            </w:r>
          </w:p>
        </w:tc>
        <w:tc>
          <w:tcPr>
            <w:tcW w:w="3685" w:type="dxa"/>
            <w:vAlign w:val="center"/>
          </w:tcPr>
          <w:p w14:paraId="0E0473CF" w14:textId="58DC7133" w:rsidR="00F460A0" w:rsidRPr="00CF5F10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  <w:t>Approvvigionamento e installazione apparecchiatura di misura</w:t>
            </w:r>
          </w:p>
        </w:tc>
        <w:tc>
          <w:tcPr>
            <w:tcW w:w="3254" w:type="dxa"/>
            <w:vAlign w:val="center"/>
          </w:tcPr>
          <w:p w14:paraId="5BDB860B" w14:textId="1BEFA957" w:rsidR="00F460A0" w:rsidRPr="00CF5F10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  <w:t>Manutenzione apparecchiatura di misura</w:t>
            </w:r>
          </w:p>
        </w:tc>
      </w:tr>
      <w:tr w:rsidR="00F460A0" w:rsidRPr="00FE6D98" w14:paraId="57DE6B36" w14:textId="77777777" w:rsidTr="00CF5F10">
        <w:trPr>
          <w:trHeight w:val="591"/>
          <w:jc w:val="center"/>
        </w:trPr>
        <w:tc>
          <w:tcPr>
            <w:tcW w:w="2689" w:type="dxa"/>
            <w:vAlign w:val="center"/>
          </w:tcPr>
          <w:p w14:paraId="42E2AD6A" w14:textId="77777777" w:rsidR="00F460A0" w:rsidRPr="00CF5F10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BT</w:t>
            </w:r>
          </w:p>
        </w:tc>
        <w:tc>
          <w:tcPr>
            <w:tcW w:w="3685" w:type="dxa"/>
            <w:vAlign w:val="center"/>
          </w:tcPr>
          <w:p w14:paraId="0D238338" w14:textId="77777777" w:rsidR="00F460A0" w:rsidRPr="00CF5F10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149 €/anno</w:t>
            </w:r>
          </w:p>
        </w:tc>
        <w:tc>
          <w:tcPr>
            <w:tcW w:w="3254" w:type="dxa"/>
            <w:vAlign w:val="center"/>
          </w:tcPr>
          <w:p w14:paraId="266DA84D" w14:textId="77777777" w:rsidR="00F460A0" w:rsidRPr="00CF5F10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169 €/anno</w:t>
            </w:r>
          </w:p>
        </w:tc>
      </w:tr>
      <w:tr w:rsidR="00F460A0" w:rsidRPr="00FE6D98" w14:paraId="07444890" w14:textId="77777777" w:rsidTr="00CF5F10">
        <w:trPr>
          <w:trHeight w:val="591"/>
          <w:jc w:val="center"/>
        </w:trPr>
        <w:tc>
          <w:tcPr>
            <w:tcW w:w="2689" w:type="dxa"/>
            <w:vAlign w:val="center"/>
          </w:tcPr>
          <w:p w14:paraId="0AC3DD46" w14:textId="77777777" w:rsidR="00F460A0" w:rsidRPr="00CF5F10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MT</w:t>
            </w:r>
          </w:p>
        </w:tc>
        <w:tc>
          <w:tcPr>
            <w:tcW w:w="3685" w:type="dxa"/>
            <w:vAlign w:val="center"/>
          </w:tcPr>
          <w:p w14:paraId="170C7410" w14:textId="77777777" w:rsidR="00F460A0" w:rsidRPr="00CF5F10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480 €/anno</w:t>
            </w:r>
          </w:p>
        </w:tc>
        <w:tc>
          <w:tcPr>
            <w:tcW w:w="3254" w:type="dxa"/>
            <w:vAlign w:val="center"/>
          </w:tcPr>
          <w:p w14:paraId="53CD550A" w14:textId="77777777" w:rsidR="00F460A0" w:rsidRPr="00CF5F10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150 €/anno</w:t>
            </w:r>
          </w:p>
        </w:tc>
      </w:tr>
    </w:tbl>
    <w:p w14:paraId="61A06D50" w14:textId="77777777" w:rsidR="00F460A0" w:rsidRPr="00FE6D98" w:rsidRDefault="00F460A0" w:rsidP="00F460A0">
      <w:pPr>
        <w:shd w:val="clear" w:color="auto" w:fill="FFFFFF"/>
        <w:spacing w:after="240" w:line="240" w:lineRule="auto"/>
        <w:textAlignment w:val="baseline"/>
        <w:rPr>
          <w:rFonts w:ascii="Tahoma" w:eastAsia="Times New Roman" w:hAnsi="Tahoma" w:cs="Tahoma"/>
          <w:i/>
          <w:iCs/>
          <w:color w:val="4B4F58"/>
          <w:kern w:val="0"/>
          <w:sz w:val="16"/>
          <w:szCs w:val="16"/>
          <w:lang w:eastAsia="it-IT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2403"/>
      </w:tblGrid>
      <w:tr w:rsidR="00F460A0" w:rsidRPr="00FE6D98" w14:paraId="11F6CE16" w14:textId="77777777" w:rsidTr="00CF5F10">
        <w:trPr>
          <w:trHeight w:val="430"/>
          <w:jc w:val="center"/>
        </w:trPr>
        <w:tc>
          <w:tcPr>
            <w:tcW w:w="9628" w:type="dxa"/>
            <w:gridSpan w:val="4"/>
            <w:shd w:val="clear" w:color="auto" w:fill="92D050"/>
            <w:vAlign w:val="center"/>
          </w:tcPr>
          <w:p w14:paraId="628E8E52" w14:textId="77777777" w:rsidR="00F460A0" w:rsidRPr="00FE6D98" w:rsidRDefault="00F460A0" w:rsidP="00C310E5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4B4F58"/>
                <w:kern w:val="0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 xml:space="preserve">Corrispettivi per la misura dell’energia elettrica PRODOTTA (IVA </w:t>
            </w:r>
            <w:proofErr w:type="spellStart"/>
            <w:r w:rsidRPr="00CF5F10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>escl</w:t>
            </w:r>
            <w:proofErr w:type="spellEnd"/>
            <w:r w:rsidRPr="00CF5F10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</w:tr>
      <w:tr w:rsidR="00CF5F10" w:rsidRPr="00FE6D98" w14:paraId="70936483" w14:textId="77777777" w:rsidTr="00CF5F10">
        <w:trPr>
          <w:trHeight w:val="1006"/>
          <w:jc w:val="center"/>
        </w:trPr>
        <w:tc>
          <w:tcPr>
            <w:tcW w:w="2263" w:type="dxa"/>
            <w:vAlign w:val="center"/>
          </w:tcPr>
          <w:p w14:paraId="444CE3DB" w14:textId="77777777" w:rsidR="00F460A0" w:rsidRPr="00CF5F10" w:rsidRDefault="00F460A0" w:rsidP="00CF5F10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  <w:t>livello di tensione del punto di connessione</w:t>
            </w:r>
          </w:p>
        </w:tc>
        <w:tc>
          <w:tcPr>
            <w:tcW w:w="2552" w:type="dxa"/>
            <w:vAlign w:val="center"/>
          </w:tcPr>
          <w:p w14:paraId="54CE156F" w14:textId="77777777" w:rsidR="00F460A0" w:rsidRPr="00CF5F10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  <w:t xml:space="preserve">Approvvigionamento e installazione apparecchiatura di misura </w:t>
            </w:r>
          </w:p>
        </w:tc>
        <w:tc>
          <w:tcPr>
            <w:tcW w:w="2410" w:type="dxa"/>
            <w:vAlign w:val="center"/>
          </w:tcPr>
          <w:p w14:paraId="01192B1B" w14:textId="77777777" w:rsidR="00F460A0" w:rsidRPr="00CF5F10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  <w:t xml:space="preserve">Manutenzione apparecchiatura di misura </w:t>
            </w:r>
          </w:p>
        </w:tc>
        <w:tc>
          <w:tcPr>
            <w:tcW w:w="2403" w:type="dxa"/>
          </w:tcPr>
          <w:p w14:paraId="3D974DE0" w14:textId="77777777" w:rsidR="00F460A0" w:rsidRPr="00CF5F10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0A0A0A"/>
                <w:kern w:val="0"/>
                <w:sz w:val="16"/>
                <w:szCs w:val="16"/>
                <w:lang w:eastAsia="it-IT"/>
                <w14:ligatures w14:val="none"/>
              </w:rPr>
              <w:t>Rilevazione, registrazione e validazione delle misure</w:t>
            </w:r>
          </w:p>
        </w:tc>
      </w:tr>
      <w:tr w:rsidR="00F460A0" w:rsidRPr="00FE6D98" w14:paraId="51F792A0" w14:textId="77777777" w:rsidTr="00CF5F10">
        <w:trPr>
          <w:trHeight w:val="358"/>
          <w:jc w:val="center"/>
        </w:trPr>
        <w:tc>
          <w:tcPr>
            <w:tcW w:w="2263" w:type="dxa"/>
            <w:vAlign w:val="center"/>
          </w:tcPr>
          <w:p w14:paraId="6183EE99" w14:textId="54403317" w:rsidR="00F460A0" w:rsidRPr="00FE6D98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E6D98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>BT</w:t>
            </w:r>
          </w:p>
        </w:tc>
        <w:tc>
          <w:tcPr>
            <w:tcW w:w="7365" w:type="dxa"/>
            <w:gridSpan w:val="3"/>
            <w:vAlign w:val="center"/>
          </w:tcPr>
          <w:p w14:paraId="1D654AE9" w14:textId="77777777" w:rsidR="00F460A0" w:rsidRPr="00CF5F10" w:rsidRDefault="00F460A0" w:rsidP="00C310E5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A7C22" w:themeColor="accent6" w:themeShade="BF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3A7C22" w:themeColor="accent6" w:themeShade="BF"/>
                <w:kern w:val="0"/>
                <w:sz w:val="20"/>
                <w:szCs w:val="20"/>
                <w:lang w:eastAsia="it-IT"/>
                <w14:ligatures w14:val="none"/>
              </w:rPr>
              <w:t>Tabelle TIME</w:t>
            </w:r>
          </w:p>
        </w:tc>
      </w:tr>
      <w:tr w:rsidR="00F460A0" w:rsidRPr="00FE6D98" w14:paraId="782CEF6A" w14:textId="77777777" w:rsidTr="00CF5F10">
        <w:trPr>
          <w:jc w:val="center"/>
        </w:trPr>
        <w:tc>
          <w:tcPr>
            <w:tcW w:w="2263" w:type="dxa"/>
            <w:vAlign w:val="center"/>
          </w:tcPr>
          <w:p w14:paraId="0EEE5864" w14:textId="7FB18E5B" w:rsidR="00F460A0" w:rsidRPr="00FE6D98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D98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 xml:space="preserve">MT </w:t>
            </w:r>
            <w:r w:rsidRPr="00FE6D98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fino a 20 kW</w:t>
            </w:r>
          </w:p>
        </w:tc>
        <w:tc>
          <w:tcPr>
            <w:tcW w:w="7365" w:type="dxa"/>
            <w:gridSpan w:val="3"/>
          </w:tcPr>
          <w:p w14:paraId="72852016" w14:textId="76478712" w:rsidR="00F460A0" w:rsidRPr="00CF5F10" w:rsidRDefault="00F460A0" w:rsidP="00F460A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A7C22" w:themeColor="accent6" w:themeShade="BF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3A7C22" w:themeColor="accent6" w:themeShade="BF"/>
                <w:kern w:val="0"/>
                <w:sz w:val="20"/>
                <w:szCs w:val="20"/>
                <w:lang w:eastAsia="it-IT"/>
                <w14:ligatures w14:val="none"/>
              </w:rPr>
              <w:t>Tabelle TIME</w:t>
            </w:r>
          </w:p>
        </w:tc>
      </w:tr>
      <w:tr w:rsidR="00F460A0" w:rsidRPr="00FE6D98" w14:paraId="6A521207" w14:textId="77777777" w:rsidTr="00CF5F10">
        <w:trPr>
          <w:jc w:val="center"/>
        </w:trPr>
        <w:tc>
          <w:tcPr>
            <w:tcW w:w="2263" w:type="dxa"/>
            <w:vAlign w:val="center"/>
          </w:tcPr>
          <w:p w14:paraId="4DAA3DBD" w14:textId="33820216" w:rsidR="00F460A0" w:rsidRPr="00FE6D98" w:rsidRDefault="00F460A0" w:rsidP="00CF5F10">
            <w:pPr>
              <w:spacing w:after="240"/>
              <w:jc w:val="center"/>
              <w:textAlignment w:val="baseline"/>
              <w:rPr>
                <w:rFonts w:ascii="Tahoma" w:eastAsia="Times New Roman" w:hAnsi="Tahoma" w:cs="Tahoma"/>
                <w:color w:val="4B4F58"/>
                <w:kern w:val="0"/>
                <w:lang w:eastAsia="it-IT"/>
                <w14:ligatures w14:val="none"/>
              </w:rPr>
            </w:pPr>
            <w:r w:rsidRPr="00FE6D98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20"/>
                <w:szCs w:val="20"/>
                <w:lang w:eastAsia="it-IT"/>
                <w14:ligatures w14:val="none"/>
              </w:rPr>
              <w:t xml:space="preserve">MT </w:t>
            </w:r>
            <w:r w:rsidRPr="00FE6D98">
              <w:rPr>
                <w:rFonts w:ascii="Tahoma" w:eastAsia="Times New Roman" w:hAnsi="Tahoma" w:cs="Tahoma"/>
                <w:b/>
                <w:bCs/>
                <w:color w:val="4B4F58"/>
                <w:kern w:val="0"/>
                <w:sz w:val="18"/>
                <w:szCs w:val="18"/>
                <w:lang w:eastAsia="it-IT"/>
                <w14:ligatures w14:val="none"/>
              </w:rPr>
              <w:t>superiore a 20 kW</w:t>
            </w:r>
          </w:p>
        </w:tc>
        <w:tc>
          <w:tcPr>
            <w:tcW w:w="2552" w:type="dxa"/>
          </w:tcPr>
          <w:p w14:paraId="170F53A1" w14:textId="44D39C3E" w:rsidR="00F460A0" w:rsidRPr="00CF5F10" w:rsidRDefault="00F460A0" w:rsidP="00CF5F10">
            <w:pPr>
              <w:spacing w:after="24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CF5F10">
              <w:rPr>
                <w:rFonts w:ascii="Tahoma" w:hAnsi="Tahoma" w:cs="Tahoma"/>
                <w:sz w:val="18"/>
                <w:szCs w:val="18"/>
              </w:rPr>
              <w:t>231 €/anno</w:t>
            </w:r>
          </w:p>
        </w:tc>
        <w:tc>
          <w:tcPr>
            <w:tcW w:w="2410" w:type="dxa"/>
          </w:tcPr>
          <w:p w14:paraId="42080468" w14:textId="77777777" w:rsidR="00F460A0" w:rsidRPr="00CF5F10" w:rsidRDefault="00F460A0" w:rsidP="00CF5F10">
            <w:pPr>
              <w:spacing w:after="24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CF5F10">
              <w:rPr>
                <w:rFonts w:ascii="Tahoma" w:hAnsi="Tahoma" w:cs="Tahoma"/>
                <w:sz w:val="18"/>
                <w:szCs w:val="18"/>
              </w:rPr>
              <w:t>234 €/anno</w:t>
            </w:r>
          </w:p>
        </w:tc>
        <w:tc>
          <w:tcPr>
            <w:tcW w:w="2403" w:type="dxa"/>
          </w:tcPr>
          <w:p w14:paraId="489DD71B" w14:textId="7374BCF5" w:rsidR="00F460A0" w:rsidRPr="00FE6D98" w:rsidRDefault="00F460A0" w:rsidP="00F460A0">
            <w:pPr>
              <w:spacing w:after="240"/>
              <w:textAlignment w:val="baseline"/>
              <w:rPr>
                <w:rFonts w:ascii="Tahoma" w:eastAsia="Times New Roman" w:hAnsi="Tahoma" w:cs="Tahoma"/>
                <w:color w:val="4B4F58"/>
                <w:kern w:val="0"/>
                <w:lang w:eastAsia="it-IT"/>
                <w14:ligatures w14:val="none"/>
              </w:rPr>
            </w:pPr>
            <w:r w:rsidRPr="00CF5F10">
              <w:rPr>
                <w:rFonts w:ascii="Tahoma" w:eastAsia="Times New Roman" w:hAnsi="Tahoma" w:cs="Tahoma"/>
                <w:b/>
                <w:bCs/>
                <w:color w:val="3A7C22" w:themeColor="accent6" w:themeShade="BF"/>
                <w:kern w:val="0"/>
                <w:sz w:val="20"/>
                <w:szCs w:val="20"/>
                <w:lang w:eastAsia="it-IT"/>
                <w14:ligatures w14:val="none"/>
              </w:rPr>
              <w:t>Tabelle TIME</w:t>
            </w:r>
          </w:p>
        </w:tc>
      </w:tr>
    </w:tbl>
    <w:p w14:paraId="1964DEC0" w14:textId="77777777" w:rsidR="00F460A0" w:rsidRPr="00FE6D98" w:rsidRDefault="00F460A0">
      <w:pPr>
        <w:rPr>
          <w:rFonts w:ascii="Tahoma" w:hAnsi="Tahoma" w:cs="Tahoma"/>
        </w:rPr>
      </w:pPr>
    </w:p>
    <w:p w14:paraId="0302EEF4" w14:textId="77777777" w:rsidR="00AB189D" w:rsidRDefault="00AB189D" w:rsidP="00F460A0">
      <w:pPr>
        <w:shd w:val="clear" w:color="auto" w:fill="FFFFFF"/>
        <w:spacing w:after="240" w:line="240" w:lineRule="auto"/>
        <w:textAlignment w:val="baseline"/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</w:pPr>
    </w:p>
    <w:p w14:paraId="7865BBDE" w14:textId="6FFAC921" w:rsidR="00F460A0" w:rsidRPr="00034446" w:rsidRDefault="00F460A0" w:rsidP="00F460A0">
      <w:pPr>
        <w:shd w:val="clear" w:color="auto" w:fill="FFFFFF"/>
        <w:spacing w:after="240" w:line="240" w:lineRule="auto"/>
        <w:textAlignment w:val="baseline"/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</w:pPr>
      <w:r w:rsidRPr="00034446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lastRenderedPageBreak/>
        <w:t>Ne</w:t>
      </w:r>
      <w:r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>i</w:t>
      </w:r>
      <w:r w:rsidRPr="00034446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 xml:space="preserve"> corrispettiv</w:t>
      </w:r>
      <w:r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>i</w:t>
      </w:r>
      <w:r w:rsidRPr="00034446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 xml:space="preserve"> non </w:t>
      </w:r>
      <w:r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>sono</w:t>
      </w:r>
      <w:r w:rsidRPr="00034446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 xml:space="preserve"> compres</w:t>
      </w:r>
      <w:r w:rsidRPr="00FE6D98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>e</w:t>
      </w:r>
      <w:r w:rsidRPr="00034446">
        <w:rPr>
          <w:rFonts w:ascii="Tahoma" w:eastAsia="Times New Roman" w:hAnsi="Tahoma" w:cs="Tahoma"/>
          <w:color w:val="4B4F58"/>
          <w:kern w:val="0"/>
          <w:sz w:val="20"/>
          <w:szCs w:val="20"/>
          <w:lang w:eastAsia="it-IT"/>
          <w14:ligatures w14:val="none"/>
        </w:rPr>
        <w:t>:</w:t>
      </w:r>
    </w:p>
    <w:p w14:paraId="71E525B0" w14:textId="77777777" w:rsidR="00F460A0" w:rsidRPr="00FE6D98" w:rsidRDefault="00F460A0" w:rsidP="00F460A0">
      <w:pPr>
        <w:pStyle w:val="Paragrafoelenco"/>
        <w:numPr>
          <w:ilvl w:val="0"/>
          <w:numId w:val="2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3A3A3A"/>
          <w:kern w:val="0"/>
          <w:sz w:val="20"/>
          <w:szCs w:val="20"/>
          <w:lang w:eastAsia="it-IT"/>
          <w14:ligatures w14:val="none"/>
        </w:rPr>
      </w:pPr>
      <w:r w:rsidRPr="00FE6D98">
        <w:rPr>
          <w:rFonts w:ascii="Tahoma" w:eastAsia="Times New Roman" w:hAnsi="Tahoma" w:cs="Tahoma"/>
          <w:color w:val="3A3A3A"/>
          <w:kern w:val="0"/>
          <w:sz w:val="20"/>
          <w:szCs w:val="20"/>
          <w:lang w:eastAsia="it-IT"/>
          <w14:ligatures w14:val="none"/>
        </w:rPr>
        <w:t>la certificazione della misura ai fini fiscali, se richiesto dai competenti uffici dell’Agenzia delle Dogane;</w:t>
      </w:r>
    </w:p>
    <w:p w14:paraId="7EE3BC75" w14:textId="1DE77452" w:rsidR="00F460A0" w:rsidRPr="00FE6D98" w:rsidRDefault="00F460A0" w:rsidP="00F460A0">
      <w:pPr>
        <w:pStyle w:val="Paragrafoelenco"/>
        <w:numPr>
          <w:ilvl w:val="0"/>
          <w:numId w:val="2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3A3A3A"/>
          <w:kern w:val="0"/>
          <w:sz w:val="20"/>
          <w:szCs w:val="20"/>
          <w:lang w:eastAsia="it-IT"/>
          <w14:ligatures w14:val="none"/>
        </w:rPr>
      </w:pPr>
      <w:r w:rsidRPr="00FE6D98">
        <w:rPr>
          <w:rFonts w:ascii="Tahoma" w:eastAsia="Times New Roman" w:hAnsi="Tahoma" w:cs="Tahoma"/>
          <w:color w:val="3A3A3A"/>
          <w:kern w:val="0"/>
          <w:sz w:val="20"/>
          <w:szCs w:val="20"/>
          <w:lang w:eastAsia="it-IT"/>
          <w14:ligatures w14:val="none"/>
        </w:rPr>
        <w:t>l’installazione e la manutenzione dei trasformatori riduttori di tensione e di corrente (TV, TA) qualora fossero necessari al corretto funzionamento del misuratore installato (*)</w:t>
      </w:r>
    </w:p>
    <w:p w14:paraId="01C1C786" w14:textId="77777777" w:rsidR="00F460A0" w:rsidRPr="00FE6D98" w:rsidRDefault="00F460A0" w:rsidP="00F460A0">
      <w:pPr>
        <w:pStyle w:val="Paragrafoelenco"/>
        <w:numPr>
          <w:ilvl w:val="0"/>
          <w:numId w:val="2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3A3A3A"/>
          <w:kern w:val="0"/>
          <w:sz w:val="20"/>
          <w:szCs w:val="20"/>
          <w:lang w:eastAsia="it-IT"/>
          <w14:ligatures w14:val="none"/>
        </w:rPr>
      </w:pPr>
      <w:r w:rsidRPr="00FE6D98">
        <w:rPr>
          <w:rFonts w:ascii="Tahoma" w:eastAsia="Times New Roman" w:hAnsi="Tahoma" w:cs="Tahoma"/>
          <w:color w:val="3A3A3A"/>
          <w:kern w:val="0"/>
          <w:sz w:val="20"/>
          <w:szCs w:val="20"/>
          <w:lang w:eastAsia="it-IT"/>
          <w14:ligatures w14:val="none"/>
        </w:rPr>
        <w:t>le opere di predisposizione impiantistica necessarie per l’alloggiamento delle apparecchiature di misura, che sono a carico del produttore;</w:t>
      </w:r>
    </w:p>
    <w:p w14:paraId="732163B2" w14:textId="1FBF0551" w:rsidR="00F460A0" w:rsidRPr="00FE6D98" w:rsidRDefault="00F460A0" w:rsidP="00F460A0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rPr>
          <w:rFonts w:ascii="Tahoma" w:eastAsia="Times New Roman" w:hAnsi="Tahoma" w:cs="Tahoma"/>
          <w:color w:val="3A3A3A"/>
          <w:kern w:val="0"/>
          <w:sz w:val="20"/>
          <w:szCs w:val="20"/>
          <w:lang w:eastAsia="it-IT"/>
          <w14:ligatures w14:val="none"/>
        </w:rPr>
      </w:pPr>
      <w:r w:rsidRPr="00FE6D98">
        <w:rPr>
          <w:rFonts w:ascii="Tahoma" w:eastAsia="Times New Roman" w:hAnsi="Tahoma" w:cs="Tahoma"/>
          <w:color w:val="3A3A3A"/>
          <w:kern w:val="0"/>
          <w:sz w:val="20"/>
          <w:szCs w:val="20"/>
          <w:lang w:eastAsia="it-IT"/>
          <w14:ligatures w14:val="none"/>
        </w:rPr>
        <w:t>in generale tutte le attività non rientranti nelle voci il “corrispettivo comprende”</w:t>
      </w:r>
    </w:p>
    <w:p w14:paraId="52FF1B16" w14:textId="77777777" w:rsidR="00F460A0" w:rsidRPr="00FE6D98" w:rsidRDefault="00F460A0" w:rsidP="00F460A0">
      <w:pPr>
        <w:pStyle w:val="Paragrafoelenco"/>
        <w:shd w:val="clear" w:color="auto" w:fill="FFFFFF"/>
        <w:spacing w:line="240" w:lineRule="auto"/>
        <w:rPr>
          <w:rFonts w:ascii="Tahoma" w:eastAsia="Times New Roman" w:hAnsi="Tahoma" w:cs="Tahoma"/>
          <w:color w:val="3A3A3A"/>
          <w:kern w:val="0"/>
          <w:lang w:eastAsia="it-IT"/>
          <w14:ligatures w14:val="none"/>
        </w:rPr>
      </w:pPr>
    </w:p>
    <w:p w14:paraId="688E823F" w14:textId="016EB516" w:rsidR="00F460A0" w:rsidRPr="00FE6D98" w:rsidRDefault="00F460A0">
      <w:pPr>
        <w:rPr>
          <w:rFonts w:ascii="Tahoma" w:hAnsi="Tahoma" w:cs="Tahoma"/>
          <w:i/>
          <w:iCs/>
          <w:sz w:val="16"/>
          <w:szCs w:val="16"/>
        </w:rPr>
      </w:pPr>
      <w:r w:rsidRPr="00FE6D98">
        <w:rPr>
          <w:rFonts w:ascii="Tahoma" w:hAnsi="Tahoma" w:cs="Tahoma"/>
          <w:i/>
          <w:iCs/>
          <w:sz w:val="16"/>
          <w:szCs w:val="16"/>
        </w:rPr>
        <w:t>(*) I corrispettivi una tantum per il servizio di installazione e manutenzione dei dispositivi riduttori di tensione e di corrente – qualora necessari – sono stabiliti sulla base di un preventivo redatto da V-Reti.</w:t>
      </w:r>
    </w:p>
    <w:p w14:paraId="0B92D92D" w14:textId="650CCDD4" w:rsidR="00034446" w:rsidRPr="00391473" w:rsidRDefault="00034446" w:rsidP="000344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</w:pPr>
      <w:proofErr w:type="gramStart"/>
      <w:r w:rsidRPr="00391473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>E’</w:t>
      </w:r>
      <w:proofErr w:type="gramEnd"/>
      <w:r w:rsidRPr="00391473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 xml:space="preserve"> prevista </w:t>
      </w:r>
      <w:r w:rsidRPr="00FE6D98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 xml:space="preserve">di norma </w:t>
      </w:r>
      <w:r w:rsidRPr="00391473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>una fatturazione annuale per i servizi sopra descritt</w:t>
      </w:r>
      <w:r w:rsidR="00F460A0" w:rsidRPr="00FE6D98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>o</w:t>
      </w:r>
      <w:r w:rsidRPr="00391473">
        <w:rPr>
          <w:rFonts w:ascii="Tahoma" w:eastAsia="Times New Roman" w:hAnsi="Tahoma" w:cs="Tahoma"/>
          <w:color w:val="0A0A0A"/>
          <w:kern w:val="0"/>
          <w:sz w:val="20"/>
          <w:szCs w:val="20"/>
          <w:lang w:eastAsia="it-IT"/>
          <w14:ligatures w14:val="none"/>
        </w:rPr>
        <w:t>. </w:t>
      </w:r>
    </w:p>
    <w:p w14:paraId="1C8605CA" w14:textId="77777777" w:rsidR="00391473" w:rsidRPr="00FE6D98" w:rsidRDefault="00391473">
      <w:pPr>
        <w:rPr>
          <w:rFonts w:ascii="Tahoma" w:hAnsi="Tahoma" w:cs="Tahoma"/>
        </w:rPr>
      </w:pPr>
    </w:p>
    <w:sectPr w:rsidR="00391473" w:rsidRPr="00FE6D98" w:rsidSect="00AB189D"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02068"/>
    <w:multiLevelType w:val="hybridMultilevel"/>
    <w:tmpl w:val="EEFA8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036AB"/>
    <w:multiLevelType w:val="multilevel"/>
    <w:tmpl w:val="EC7E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6510334">
    <w:abstractNumId w:val="1"/>
  </w:num>
  <w:num w:numId="2" w16cid:durableId="201877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D94"/>
    <w:rsid w:val="00034446"/>
    <w:rsid w:val="001C4806"/>
    <w:rsid w:val="00281D94"/>
    <w:rsid w:val="00286093"/>
    <w:rsid w:val="00291BC4"/>
    <w:rsid w:val="002A2D5B"/>
    <w:rsid w:val="00323B4C"/>
    <w:rsid w:val="00391473"/>
    <w:rsid w:val="004A4199"/>
    <w:rsid w:val="00723650"/>
    <w:rsid w:val="008C131E"/>
    <w:rsid w:val="0098731D"/>
    <w:rsid w:val="00AB189D"/>
    <w:rsid w:val="00CC0636"/>
    <w:rsid w:val="00CF5F10"/>
    <w:rsid w:val="00D45A2D"/>
    <w:rsid w:val="00D824D1"/>
    <w:rsid w:val="00E711B8"/>
    <w:rsid w:val="00EC0D26"/>
    <w:rsid w:val="00F36F71"/>
    <w:rsid w:val="00F460A0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84E5"/>
  <w15:docId w15:val="{4AE0D464-9748-4E92-BB03-74BB0403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1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1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1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1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D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D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D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D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D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D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1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D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1D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1D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D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1D9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87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1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31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48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025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253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6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era.it/atti-e-provvedimenti/dettaglio/23/630-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4449</Characters>
  <Application>Microsoft Office Word</Application>
  <DocSecurity>0</DocSecurity>
  <Lines>185</Lines>
  <Paragraphs>149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Aim Vicenza SPA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Bettale Alice</dc:creator>
  <cp:lastModifiedBy>Bettale Alice</cp:lastModifiedBy>
  <cp:revision>4</cp:revision>
  <dcterms:created xsi:type="dcterms:W3CDTF">2025-09-17T09:20:00Z</dcterms:created>
  <dcterms:modified xsi:type="dcterms:W3CDTF">2025-12-16T10:57:00Z</dcterms:modified>
</cp:coreProperties>
</file>